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ATTO </w:t>
      </w:r>
      <w:proofErr w:type="spellStart"/>
      <w:r>
        <w:rPr>
          <w:rFonts w:ascii="TimesNewRomanPS-BoldMT" w:hAnsi="TimesNewRomanPS-BoldMT" w:cs="TimesNewRomanPS-BoldMT"/>
          <w:b/>
          <w:bCs/>
          <w:sz w:val="21"/>
          <w:szCs w:val="21"/>
        </w:rPr>
        <w:t>DI</w:t>
      </w:r>
      <w:proofErr w:type="spellEnd"/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INDIRIZZO RECANTE: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“INDIVIDUAZIONE DEI CONTENUTI COGENTI DEL PROGETTO ESECUTIVO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RIGUARDANTE LE STRUTTURE, AI SENSI DELL’ART. 12, COMMA 1, DELLA </w:t>
      </w:r>
      <w:proofErr w:type="spellStart"/>
      <w:r>
        <w:rPr>
          <w:rFonts w:ascii="TimesNewRomanPS-BoldMT" w:hAnsi="TimesNewRomanPS-BoldMT" w:cs="TimesNewRomanPS-BoldMT"/>
          <w:b/>
          <w:bCs/>
          <w:sz w:val="21"/>
          <w:szCs w:val="21"/>
        </w:rPr>
        <w:t>L.R.</w:t>
      </w:r>
      <w:proofErr w:type="spellEnd"/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N.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19 DEL 2008”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…………………………………………………..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8. La documentazione che costituisce il progetto esecutivo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riguardante le strutture</w:t>
      </w:r>
      <w:r>
        <w:rPr>
          <w:rFonts w:ascii="TimesNewRomanPSMT" w:hAnsi="TimesNewRomanPSMT" w:cs="TimesNewRomanPSMT"/>
          <w:sz w:val="20"/>
          <w:szCs w:val="20"/>
        </w:rPr>
        <w:t>, oggetto di istanza di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autorizzazione sismica o di denuncia di deposito, </w:t>
      </w: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deve essere relativa ad una sola unità strutturale (US),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intendendo per US una costruzione con continuità da cielo a terra per quanto riguarda il flusso dei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carichi verticali, delimitata da spazi aperti o da giunti strutturali tali da garantire un comportamento per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effetto delle azioni sismiche indipendente rispetto alle costruzioni eventualmente contigue. Tuttavia,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qualora fossero presenti elaborati, o parti di essi, comuni a più US rientranti nel medesimo titolo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abilitativo (quali, ad esempio, gli elaborati di progetto architettonico, la relazione geologica, etc.) detti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elaborati comuni possono essere allegati ad una sola US e richiamati nelle altre, con riferimento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esplicito nelle parti appropriate delle relazioni (o nell’elaborato “</w:t>
      </w:r>
      <w:r w:rsidRPr="000D5DFD">
        <w:rPr>
          <w:rFonts w:ascii="TimesNewRomanPS-ItalicMT" w:hAnsi="TimesNewRomanPS-ItalicMT" w:cs="TimesNewRomanPS-ItalicMT"/>
          <w:i/>
          <w:iCs/>
          <w:sz w:val="20"/>
          <w:szCs w:val="20"/>
          <w:highlight w:val="yellow"/>
        </w:rPr>
        <w:t>0. INDICE DEGLI ELABORATI</w:t>
      </w:r>
      <w:r w:rsidRPr="000D5DFD">
        <w:rPr>
          <w:rFonts w:ascii="TimesNewRomanPSMT" w:hAnsi="TimesNewRomanPSMT" w:cs="TimesNewRomanPSMT"/>
          <w:sz w:val="20"/>
          <w:szCs w:val="20"/>
          <w:highlight w:val="yellow"/>
        </w:rPr>
        <w:t>”).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Essendo, in sede di progettazione esecutiva, le US chiaramente e definitivamente individuate, la figura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del “progettista abilitato che cura la progettazione strutturale dell'intero intervento”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L.R.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n. 19/2008 art.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10, comma 3, lettera b) può essere relativa ad una o più unità strutturali tra quelle comprese nel titolo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abilitativo. Nei casi in cui in una singola US siano presenti delle componenti strutturali afferenti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all’ambito specialistico (oggetto di progettazione da parte di diversi progettisti con funzioni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specialistiche) il “progettista abilitato che cura la progettazione strutturale” della US deve coordinare le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diverse figure specialistiche garantendo che il progetto esecutivo riguardante le strutture contenga gli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elaborati afferenti alle singole componenti strutturali (redatti dai singoli progettisti strutturali abilitati) e</w:t>
      </w:r>
    </w:p>
    <w:p w:rsidR="00E76086" w:rsidRDefault="00055406" w:rsidP="00055406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che detti elaborati siano tra loro coerenti.</w:t>
      </w:r>
    </w:p>
    <w:p w:rsidR="00055406" w:rsidRDefault="00055406" w:rsidP="00055406">
      <w:pPr>
        <w:rPr>
          <w:rFonts w:ascii="TimesNewRomanPSMT" w:hAnsi="TimesNewRomanPSMT" w:cs="TimesNewRomanPSMT"/>
          <w:sz w:val="20"/>
          <w:szCs w:val="20"/>
        </w:rPr>
      </w:pP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OGGETTO: VADEMECUM SULLE PROCEDURE </w:t>
      </w:r>
      <w:proofErr w:type="spell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DI</w:t>
      </w:r>
      <w:proofErr w:type="spellEnd"/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VIGILANZA E CONTROLLO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DELLE COSTRUZIONI AI FINI DELLA RIDUZIONE DEL RISCHIO</w:t>
      </w:r>
    </w:p>
    <w:p w:rsidR="00055406" w:rsidRDefault="00055406" w:rsidP="00055406">
      <w:pPr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SISMICO (TITOLO IV DELLA </w:t>
      </w:r>
      <w:proofErr w:type="spell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L.R.</w:t>
      </w:r>
      <w:proofErr w:type="spellEnd"/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N. 19 DEL 2008)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ArialMT" w:hAnsi="ArialMT" w:cs="ArialMT"/>
          <w:sz w:val="14"/>
          <w:szCs w:val="14"/>
          <w:highlight w:val="yellow"/>
        </w:rPr>
        <w:t xml:space="preserve">Strutture complesse </w:t>
      </w: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Nel caso di un’unica pratica sismica caratterizzata da una pluralità di Unità Strutturali</w:t>
      </w:r>
    </w:p>
    <w:p w:rsidR="00055406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(US) differenti tra loro - intendendo per US una costruzione con continuità da cielo a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terra per quanto riguarda il flusso dei carichi verticali, delimitata da spazi aperti o da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giunti strutturali tali da garantire un comportamento per effetto delle azioni sismiche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indipendente rispetto alle costruzioni eventualmente contigue -, è dovuta la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corresponsione del rimborso forfettario per ciascuna delle Unità facenti parte della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costruzione, in quanto le stesse richiedono distinte istruttorie tecniche. Viceversa, in</w:t>
      </w:r>
    </w:p>
    <w:p w:rsidR="00055406" w:rsidRPr="000D5DFD" w:rsidRDefault="00055406" w:rsidP="00055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highlight w:val="yellow"/>
        </w:rPr>
      </w:pPr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presenza di una pluralità di strutture tra loro identiche, il rimborso è dovuto per una</w:t>
      </w:r>
    </w:p>
    <w:p w:rsidR="00055406" w:rsidRDefault="00055406" w:rsidP="00055406">
      <w:r w:rsidRPr="000D5DFD">
        <w:rPr>
          <w:rFonts w:ascii="TimesNewRomanPSMT" w:hAnsi="TimesNewRomanPSMT" w:cs="TimesNewRomanPSMT"/>
          <w:sz w:val="21"/>
          <w:szCs w:val="21"/>
          <w:highlight w:val="yellow"/>
        </w:rPr>
        <w:t>sola volta</w:t>
      </w:r>
    </w:p>
    <w:p w:rsidR="000D5DFD" w:rsidRDefault="000D5DFD"/>
    <w:sectPr w:rsidR="000D5DFD" w:rsidSect="00E76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5406"/>
    <w:rsid w:val="00055406"/>
    <w:rsid w:val="000D5DFD"/>
    <w:rsid w:val="00E7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0E4103-9C06-44C4-978A-B7BDB492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Perazzini</dc:creator>
  <cp:keywords/>
  <dc:description/>
  <cp:lastModifiedBy>Perazzini</cp:lastModifiedBy>
  <cp:revision>1</cp:revision>
  <dcterms:created xsi:type="dcterms:W3CDTF">2011-01-26T10:54:00Z</dcterms:created>
  <dcterms:modified xsi:type="dcterms:W3CDTF">2011-01-26T11:11:00Z</dcterms:modified>
</cp:coreProperties>
</file>